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B8" w:rsidRPr="0088198A" w:rsidRDefault="003536B8">
      <w:pPr>
        <w:jc w:val="both"/>
        <w:rPr>
          <w:rFonts w:ascii="Times New Roman" w:hAnsi="Times New Roman" w:cs="Times New Roman"/>
          <w:b/>
          <w:sz w:val="24"/>
          <w:szCs w:val="24"/>
        </w:rPr>
      </w:pPr>
      <w:r w:rsidRPr="0088198A">
        <w:rPr>
          <w:rFonts w:ascii="Times New Roman" w:hAnsi="Times New Roman" w:cs="Times New Roman"/>
          <w:b/>
          <w:sz w:val="24"/>
          <w:szCs w:val="24"/>
        </w:rPr>
        <w:t>Allegato 5</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SCHEMA DI CONVENZIONE PER L’ATTUAZIONE DI UN PROGETTO FINALIZZATO ALLA DEFINIZIONE DELLE ATTIVITA’ GESTIONALI E FUNZIONALI DEL MUSEO DELLA BILANCIA E DELLE ATTIVITA’ DI RICERCA, PROMOZIONE E VALORIZZAZIONE DEL PATRIMONIO CULTURALE LOCALE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L’anno .........., il giorno .......... del mese di ................. in Campogalliano, presso la sede comunale, sono presenti i signori: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…………….domiciliata per la carica presso la sede del Comune di Campogalliano, il quale interviene nel presente atto non in proprio ma esclusivamente in nome, per conto e nell’interesse del COMUNE DI CAMPOGALLIANO, nella sua qualità di Responsabile del Settore Servizi culturali, Ricreativi e Politiche Giovanili, come da affidamento di Incarico _______ del _______, per dare esecuzione alla deliberazione di Giunta Comunale n. 63 del </w:t>
      </w:r>
      <w:smartTag w:uri="urn:schemas-microsoft-com:office:smarttags" w:element="date">
        <w:smartTagPr>
          <w:attr w:name="Year" w:val="2022"/>
          <w:attr w:name="Day" w:val="06"/>
          <w:attr w:name="Month" w:val="06"/>
          <w:attr w:name="ls" w:val="trans"/>
        </w:smartTagPr>
        <w:r w:rsidRPr="00760A3E">
          <w:rPr>
            <w:rFonts w:ascii="Times New Roman" w:hAnsi="Times New Roman" w:cs="Times New Roman"/>
            <w:sz w:val="24"/>
            <w:szCs w:val="24"/>
          </w:rPr>
          <w:t>06.06.2022</w:t>
        </w:r>
      </w:smartTag>
      <w:r w:rsidRPr="00760A3E">
        <w:rPr>
          <w:rFonts w:ascii="Times New Roman" w:hAnsi="Times New Roman" w:cs="Times New Roman"/>
          <w:sz w:val="24"/>
          <w:szCs w:val="24"/>
        </w:rPr>
        <w:t>, nonché alla Determinazione Dirigenziale n. ______ del______,</w:t>
      </w:r>
    </w:p>
    <w:p w:rsidR="003536B8" w:rsidRPr="00760A3E" w:rsidRDefault="003536B8">
      <w:pPr>
        <w:jc w:val="both"/>
        <w:rPr>
          <w:rFonts w:ascii="Times New Roman" w:hAnsi="Times New Roman" w:cs="Times New Roman"/>
          <w:sz w:val="24"/>
          <w:szCs w:val="24"/>
        </w:rPr>
      </w:pPr>
    </w:p>
    <w:p w:rsidR="003536B8" w:rsidRPr="00760A3E" w:rsidRDefault="003536B8">
      <w:pPr>
        <w:ind w:left="3600" w:firstLine="720"/>
        <w:jc w:val="both"/>
        <w:rPr>
          <w:rFonts w:ascii="Times New Roman" w:hAnsi="Times New Roman" w:cs="Times New Roman"/>
          <w:sz w:val="24"/>
          <w:szCs w:val="24"/>
        </w:rPr>
      </w:pPr>
      <w:r w:rsidRPr="00760A3E">
        <w:rPr>
          <w:rFonts w:ascii="Times New Roman" w:hAnsi="Times New Roman" w:cs="Times New Roman"/>
          <w:sz w:val="24"/>
          <w:szCs w:val="24"/>
        </w:rPr>
        <w:t>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 , il quale dichiara di agire, in qualità di Legale Rappresentante, esclusivamente in nome, per conto e nell’interesse dell’ETS ............................................, con sede in via ........................., n°......... a ..................... ( ), C.F.  .......................;</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premesso che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l'Amministrazione Comunale di Campogalliano è titolare del Museo della Bilancia  - Centro nazionale di Documentazione essendo proprietaria, a tutt'oggi, sia degli immobili sede del museo che di tutto il patrimonio di beni mobili che costituiscono il Museo della Bilancia;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il Museo della Bilancia - Centro nazionale di Documentazione è l'unico servizio italiano altamente specializzato per la diffusione della cultura dello strumento bilancia, la cui specificità e unicità richiede modelli di promozione culturale e di comunicazione collegate a formule di gestione dinamiche, propositive e innovative, che consentano di qualificare ulteriormente il servizio e di ottimizzare le risorse;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l'Amministrazione Comunale, per l'efficace gestione del servizio, ha bisogno di avere la disponibilità anche di alcuni immobili di proprietà privata;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i beni mobili, in particolare, sono conservati: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 nella sede museale, in via Garibaldi 34/a, per la parte di esposizione permanente e temporanea al pubblico, di spazi per la didattica e bookshop,</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b) nel magazzino di proprietà comunale, presso lo stabile dell'ex macello in via Canale Carpi 12, per la parte di deposito e laboratorio per piccoli lavori di pulizia e allestimento,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c) nel magazzino in via Grieco, 1 (in affitto) per la parte di deposito ordinato, archivio e Centro Documentazione,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d) nei vari punti espositivi interni ed esterni (Palazzo Municipale, teca nel giardino del Palazzo Municipale, arredo urbano “Un arcobaleno di leve” nel giardino vicino alla sede museale, strutture espositive e interattive antistante la facciata del museo, in differenti sedi della Cooperativa Bilanciai);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e) nella sede degli uffici direzionali, amministrativi e della biblioteca specializzata presso la sede Municipale;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attraverso il Museo della Bilancia – Centro nazionale di Documentazione l'Amministrazione Comunale intende: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 promuovere la cultura della bilancia come espressione di un’identità locale che si collega al settore produttivo, alle tradizioni locali e ai filoni del collezionismo, dentro e fuori il museo,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b) valorizzare il tema della bilancia come propulsore per la ricerca e la raccolta dati finalizzata al Centro Documentazione del museo,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c) favorire l'interazione educativa e formativa delle giovani generazioni e degli adulti, con particolare attenzione per il pubblico di Campogalliano, garantendo la continuità d'apertura del servizio con la massima flessibilità,</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d) sollecitare quel sentimento d’identificazione e di orgoglio dei cittadini che può nascere solo dalla conoscenza della storia, della realtà, del valore e della funzione di un importante aspetto della vita locale,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e) favorire l'inserimento del paese di Campogalliano nei percorsi turistico-culturali regionali e nazionali, e anche internazionali, per rafforzare l'idea di Città della Bilancia a favore dell'indotto locale,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f) mantenere l’elevato livello qualitativo del servizio garantendo l’adozione dei Livelli Uniformi di Qualità (LUQ), adottati dal Ministero dei beni e delle attività culturali e del turismo con Decreto Ministeriale 113/2018 e recepiti dalla Regione Emilia-Romagna con Delibera di Giunta 1450/2018, testimoniata dall’adesione al Sistema Museale Regionale e Nazionale;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l’Amministrazione comunale di Campogalliano, con deliberazione di Giunta Comunale n. 63 del </w:t>
      </w:r>
      <w:smartTag w:uri="urn:schemas-microsoft-com:office:smarttags" w:element="date">
        <w:smartTagPr>
          <w:attr w:name="Year" w:val="2022"/>
          <w:attr w:name="Day" w:val="06"/>
          <w:attr w:name="Month" w:val="06"/>
          <w:attr w:name="ls" w:val="trans"/>
        </w:smartTagPr>
        <w:r w:rsidRPr="00760A3E">
          <w:rPr>
            <w:rFonts w:ascii="Times New Roman" w:hAnsi="Times New Roman" w:cs="Times New Roman"/>
            <w:sz w:val="24"/>
            <w:szCs w:val="24"/>
          </w:rPr>
          <w:t>06.06.2022</w:t>
        </w:r>
      </w:smartTag>
      <w:r w:rsidRPr="00760A3E">
        <w:rPr>
          <w:rFonts w:ascii="Times New Roman" w:hAnsi="Times New Roman" w:cs="Times New Roman"/>
          <w:sz w:val="24"/>
          <w:szCs w:val="24"/>
        </w:rPr>
        <w:t xml:space="preserve">, ha definito le linee di indirizzo sul progetto ed ha deciso di procedere con l’avvio di un percorso di co-progettazione, ai sensi di quanto previsto all’art. 55 del D.Lgs. </w:t>
      </w:r>
      <w:smartTag w:uri="urn:schemas-microsoft-com:office:smarttags" w:element="date">
        <w:smartTagPr>
          <w:attr w:name="Year" w:val="2017"/>
          <w:attr w:name="Day" w:val="3"/>
          <w:attr w:name="Month" w:val="7"/>
          <w:attr w:name="ls" w:val="trans"/>
        </w:smartTagPr>
        <w:r w:rsidRPr="00760A3E">
          <w:rPr>
            <w:rFonts w:ascii="Times New Roman" w:hAnsi="Times New Roman" w:cs="Times New Roman"/>
            <w:sz w:val="24"/>
            <w:szCs w:val="24"/>
          </w:rPr>
          <w:t>3 luglio 2017</w:t>
        </w:r>
      </w:smartTag>
      <w:r w:rsidRPr="00760A3E">
        <w:rPr>
          <w:rFonts w:ascii="Times New Roman" w:hAnsi="Times New Roman" w:cs="Times New Roman"/>
          <w:sz w:val="24"/>
          <w:szCs w:val="24"/>
        </w:rPr>
        <w:t xml:space="preserve"> n. 117, che consenta agli Enti locali di coinvolgere e valorizzare attivamente i soggetti del terzo settore;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con determina n. ..... del ..... è stato approvato l’esito della co-progettazione che ha individuato il nuovo gestore, affidando ad un soggetto in possesso delle dovute caratteristiche e dei prescritti requisiti per l’attività da svolgere, la gestione del Museo secondo i principi della massima economicità e della garanzia di fruibilità della struttura;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in attuazione dell’esito del principio di sussidiarietà orizzontale, esplicitamente recepito e valorizzato dalla disciplina nazionale e regionale di settore, sono state sviluppate proficue sinergie collaborative con Enti del Terzo Settore capaci di valorizzare beni culturali, paesaggistici e ambientali e, tramite affidamento della gestione del Museo con la procedura della co-progettazione di cui all’art. 55 del D.Lgs. </w:t>
      </w:r>
      <w:smartTag w:uri="urn:schemas-microsoft-com:office:smarttags" w:element="date">
        <w:smartTagPr>
          <w:attr w:name="Year" w:val="2017"/>
          <w:attr w:name="Day" w:val="3"/>
          <w:attr w:name="Month" w:val="7"/>
          <w:attr w:name="ls" w:val="trans"/>
        </w:smartTagPr>
        <w:r w:rsidRPr="00760A3E">
          <w:rPr>
            <w:rFonts w:ascii="Times New Roman" w:hAnsi="Times New Roman" w:cs="Times New Roman"/>
            <w:sz w:val="24"/>
            <w:szCs w:val="24"/>
          </w:rPr>
          <w:t>3 luglio 2017</w:t>
        </w:r>
      </w:smartTag>
      <w:r w:rsidRPr="00760A3E">
        <w:rPr>
          <w:rFonts w:ascii="Times New Roman" w:hAnsi="Times New Roman" w:cs="Times New Roman"/>
          <w:sz w:val="24"/>
          <w:szCs w:val="24"/>
        </w:rPr>
        <w:t xml:space="preserve"> n. 117, attivando moduli di compartecipazione alla progettazione, gestione e rimodulazione dinamica nel tempo delle attività e dei servizi di titolarità comunale che per loro natura devono essere appunto dinamici e pronti a soddisfare i mutevoli bisogni della popolazione, anche mediante conferimento di sapere organizzativo e di risorse aggiuntive, rispetto a quelle messe a disposizione dagli enti locali;</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Visti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l’art. 118, quarto comma, della Costituzione;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 legge n. 328/2000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il D.P.C.M. </w:t>
      </w:r>
      <w:smartTag w:uri="urn:schemas-microsoft-com:office:smarttags" w:element="date">
        <w:smartTagPr>
          <w:attr w:name="Year" w:val="2001"/>
          <w:attr w:name="Day" w:val="30"/>
          <w:attr w:name="Month" w:val="3"/>
          <w:attr w:name="ls" w:val="trans"/>
        </w:smartTagPr>
        <w:r w:rsidRPr="00760A3E">
          <w:rPr>
            <w:rFonts w:ascii="Times New Roman" w:hAnsi="Times New Roman" w:cs="Times New Roman"/>
            <w:sz w:val="24"/>
            <w:szCs w:val="24"/>
          </w:rPr>
          <w:t>30 marzo 2001</w:t>
        </w:r>
      </w:smartTag>
      <w:r w:rsidRPr="00760A3E">
        <w:rPr>
          <w:rFonts w:ascii="Times New Roman" w:hAnsi="Times New Roman" w:cs="Times New Roman"/>
          <w:sz w:val="24"/>
          <w:szCs w:val="24"/>
        </w:rPr>
        <w:t>;</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 legge n. 136/2010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 legge regionale n. 2/2003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 legge n. 106/2016;</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il d. lgs. n. 117/2017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la legge n. 241/1990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il D. Lgs. n. 267/2000 e ss. mm.;</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il Decreto Legge n. 76/2020, come convertito in Legge n. 120/2020;</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la sentenza della Corte costituzionale n. 131 del </w:t>
      </w:r>
      <w:smartTag w:uri="urn:schemas-microsoft-com:office:smarttags" w:element="date">
        <w:smartTagPr>
          <w:attr w:name="Year" w:val="2020"/>
          <w:attr w:name="Day" w:val="26"/>
          <w:attr w:name="Month" w:val="6"/>
          <w:attr w:name="ls" w:val="trans"/>
        </w:smartTagPr>
        <w:r w:rsidRPr="00760A3E">
          <w:rPr>
            <w:rFonts w:ascii="Times New Roman" w:hAnsi="Times New Roman" w:cs="Times New Roman"/>
            <w:sz w:val="24"/>
            <w:szCs w:val="24"/>
          </w:rPr>
          <w:t>26 giugno 2020</w:t>
        </w:r>
      </w:smartTag>
      <w:r w:rsidRPr="00760A3E">
        <w:rPr>
          <w:rFonts w:ascii="Times New Roman" w:hAnsi="Times New Roman" w:cs="Times New Roman"/>
          <w:sz w:val="24"/>
          <w:szCs w:val="24"/>
        </w:rPr>
        <w:t>;</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il Decreto del Ministro del Lavoro e delle Politiche Sociali n.72/2021 del </w:t>
      </w:r>
      <w:smartTag w:uri="urn:schemas-microsoft-com:office:smarttags" w:element="date">
        <w:smartTagPr>
          <w:attr w:name="Year" w:val="2021"/>
          <w:attr w:name="Day" w:val="31"/>
          <w:attr w:name="Month" w:val="03"/>
          <w:attr w:name="ls" w:val="trans"/>
        </w:smartTagPr>
        <w:r w:rsidRPr="00760A3E">
          <w:rPr>
            <w:rFonts w:ascii="Times New Roman" w:hAnsi="Times New Roman" w:cs="Times New Roman"/>
            <w:sz w:val="24"/>
            <w:szCs w:val="24"/>
          </w:rPr>
          <w:t>31/03/2021</w:t>
        </w:r>
      </w:smartTag>
      <w:r>
        <w:rPr>
          <w:rFonts w:ascii="Times New Roman" w:hAnsi="Times New Roman" w:cs="Times New Roman"/>
          <w:sz w:val="24"/>
          <w:szCs w:val="24"/>
        </w:rPr>
        <w:t>;</w:t>
      </w:r>
    </w:p>
    <w:p w:rsidR="003536B8" w:rsidRPr="00760A3E" w:rsidRDefault="003536B8">
      <w:pPr>
        <w:jc w:val="both"/>
        <w:rPr>
          <w:rFonts w:ascii="Times New Roman" w:hAnsi="Times New Roman" w:cs="Times New Roman"/>
          <w:sz w:val="24"/>
          <w:szCs w:val="24"/>
        </w:rPr>
      </w:pPr>
    </w:p>
    <w:p w:rsidR="003536B8" w:rsidRPr="00760A3E" w:rsidRDefault="003536B8">
      <w:pPr>
        <w:ind w:left="1440" w:firstLine="720"/>
        <w:jc w:val="both"/>
        <w:rPr>
          <w:rFonts w:ascii="Times New Roman" w:hAnsi="Times New Roman" w:cs="Times New Roman"/>
          <w:sz w:val="24"/>
          <w:szCs w:val="24"/>
        </w:rPr>
      </w:pPr>
      <w:r w:rsidRPr="00760A3E">
        <w:rPr>
          <w:rFonts w:ascii="Times New Roman" w:hAnsi="Times New Roman" w:cs="Times New Roman"/>
          <w:sz w:val="24"/>
          <w:szCs w:val="24"/>
        </w:rPr>
        <w:t>SI CONVIENE E SI STIPULA QUANTO SEGUE: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 – OGGETTO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 presente convenzione disciplina il rapporto di collaborazione tra il Comune di Campogalliano e l’ETS ............... per lo svolgimento delle attività di cui al successivo art. 3 per le quali vengono concessi in uso gratuito i locali, le strumentazioni e le collezioni del Museo della Bilancia - Centro nazionale di documentazione.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L’Ente del Terzo Settore, con la sottoscrizione della presente Convenzione, s’impegna affinché le attività e gli interventi co-progettati siano svolti con le modalità convenute e per il periodo concordato, nel rispetto delle eventuali modifiche apportate nel corso del rapporto convenzionale, per assicurare la migliore tutela dell’interesse pubblico, fermo restando quanto previsto dall’Avviso pubblico e dai relativi Allegati, e nello spirito di collaborazione che informa il percorso di co-progettazione.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2 - FINALITA’</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 presente Convenzione si propone, in relazione alla gestione del Museo della Bilancia di Campogalliano, di valorizzare dei beni culturali, paesaggistici e ambientali del territorio locale.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3 – ATTIVITA’ E COMPITI DEL GESTORE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  .............................. si impegna a svolgere le seguenti attività e compiti: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Assicurare l’apertura degli spazi espositivi nei giorni e negli orari da concordarsi con il Servizio Museo del Settore Servizi culturali, Ricreativi e Politiche Giovanili del Comune di Campogalliano, garantendo comunque la massima fruibilità e accesso alla struttura durante l’arco settimanale – con possibilità di aperture straordinarie per eventi promossi dall’ETS e dal Comune;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Garantire l’apertura degli spazi espositivi e la loro chiusura a fine attività, con presenza di almeno un addetto, per la vigilanza, il controllo e la verifica dei materiali e attrezzature presenti precisando che la rilevazione e la segnalazione al Comune di danni e furti deve avvenire per telefono in giornata e il giorno successivo per iscritto;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Garantire il corretto utilizzo dei locali e delle strumentazioni facenti parte del Museo, nonché la idonea conservazione delle collezioni ivi ospitate;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Garantire lo svolgimento delle attività programmate di concerto con il Servizio Museo del Settore Servizi culturali, Ricreativi e Politiche Giovanili del Comune di Campogalliano;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Presentare entro il 31 luglio dell’anno in corso e entro il 31 gennaio una relazione consuntiva, riferita al primo semestre dell’anno in corso e al secondo dell’anno precedente, del programma svolto e delle spese/entrate realizzate, unitamente alla documentazione di cui al successivo art. 6;</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Segnalare al Servizio Museo del Settore Servizi culturali, Ricreativi e Politiche Giovanili del Comune di Campogalliano, entro 30 giorni dalla sottoscrizione del presente atto, il nominativo e riferimenti telefonici del proprio referente al Museo e rendersi sempre disponibile alle verifiche del Comune sullo svolgimento delle attività ad essa affidati.</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4 – IMPEGNI DEL COMUNE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Comune deve: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consegnare all’ETS le chiavi degli spazi espositivi succitati per l’intero periodo della concessione in uso e i codici per i sistemi di allarme;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provvedere alla manutenzione del Museo ed eseguire a proprio carico la pulizia settimanale dei locali;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 garantire la presenza di sistema di allarme, collegamento dati, utenze telefoniche fisse e fornitura elettrica e per riscaldamento.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segnalare all’ETS i nominativi dei propri referenti;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procedere a verifiche periodiche sulle modalità di svolgimento delle attività dell’ETS, portandone gli esiti a conoscenza di questa ultima.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5 - DURATA</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La presente convenzione ha </w:t>
      </w:r>
      <w:r>
        <w:rPr>
          <w:rFonts w:ascii="Times New Roman" w:hAnsi="Times New Roman" w:cs="Times New Roman"/>
          <w:sz w:val="24"/>
          <w:szCs w:val="24"/>
        </w:rPr>
        <w:t>validità</w:t>
      </w:r>
      <w:r w:rsidRPr="00760A3E">
        <w:rPr>
          <w:rFonts w:ascii="Times New Roman" w:hAnsi="Times New Roman" w:cs="Times New Roman"/>
          <w:sz w:val="24"/>
          <w:szCs w:val="24"/>
        </w:rPr>
        <w:t xml:space="preserve"> dalla data di sottoscrizione </w:t>
      </w:r>
      <w:r>
        <w:rPr>
          <w:rFonts w:ascii="Times New Roman" w:hAnsi="Times New Roman" w:cs="Times New Roman"/>
          <w:sz w:val="24"/>
          <w:szCs w:val="24"/>
        </w:rPr>
        <w:t>fino al 31 dicembre 2024 e potrà essere rinnovata</w:t>
      </w:r>
      <w:r w:rsidRPr="00305FAD">
        <w:rPr>
          <w:rFonts w:ascii="Times New Roman" w:hAnsi="Times New Roman" w:cs="Times New Roman"/>
          <w:sz w:val="24"/>
          <w:szCs w:val="24"/>
        </w:rPr>
        <w:t xml:space="preserve"> per ulteriori due anni previa verifica dell’andamento della co-progettazione</w:t>
      </w:r>
      <w:r>
        <w:rPr>
          <w:rFonts w:ascii="Times New Roman" w:hAnsi="Times New Roman" w:cs="Times New Roman"/>
          <w:sz w:val="24"/>
          <w:szCs w:val="24"/>
        </w:rPr>
        <w:t>.</w:t>
      </w:r>
      <w:r w:rsidRPr="00305FAD">
        <w:rPr>
          <w:rFonts w:ascii="Times New Roman" w:hAnsi="Times New Roman" w:cs="Times New Roman"/>
          <w:sz w:val="24"/>
          <w:szCs w:val="24"/>
        </w:rPr>
        <w:t xml:space="preserve"> </w:t>
      </w:r>
      <w:r w:rsidRPr="00760A3E">
        <w:rPr>
          <w:rFonts w:ascii="Times New Roman" w:hAnsi="Times New Roman" w:cs="Times New Roman"/>
          <w:sz w:val="24"/>
          <w:szCs w:val="24"/>
        </w:rPr>
        <w:t>È fatta salva la possibilità di risoluzione anticipata in caso di stipula della Convenzione con il nuovo gestore rispetto a tale data, ovvero per le motivazioni stabilite dal successivo art. 12.</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6 – CONTRIBUTO  MESSO A DISPOSIZIONE DEL COMUNE DI CAMPOGALLIANO PER LA REALIZZAZIONE DEL PROGETTO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Comune di Campogalliano contribuisce alle spese sostenute dall’ETS per la gestione, mantenimento, sicurezza e quant’altro necessario per il corretto funzionamento del Museo e lo svolgimento delle attività tipiche dell'ETS in materia di promozione del patrimonio naturale locale.</w:t>
      </w:r>
    </w:p>
    <w:p w:rsidR="003536B8"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Il rimborso spese non potrà superare in alcun modo la cifra massima di € </w:t>
      </w:r>
      <w:r>
        <w:rPr>
          <w:rFonts w:ascii="Times New Roman" w:hAnsi="Times New Roman" w:cs="Times New Roman"/>
          <w:sz w:val="24"/>
          <w:szCs w:val="24"/>
        </w:rPr>
        <w:t>82.000</w:t>
      </w:r>
      <w:r w:rsidRPr="00760A3E">
        <w:rPr>
          <w:rFonts w:ascii="Times New Roman" w:hAnsi="Times New Roman" w:cs="Times New Roman"/>
          <w:sz w:val="24"/>
          <w:szCs w:val="24"/>
        </w:rPr>
        <w:t xml:space="preserve"> per l’intero periodo convenzionale 2023-202</w:t>
      </w:r>
      <w:r>
        <w:rPr>
          <w:rFonts w:ascii="Times New Roman" w:hAnsi="Times New Roman" w:cs="Times New Roman"/>
          <w:sz w:val="24"/>
          <w:szCs w:val="24"/>
        </w:rPr>
        <w:t>4</w:t>
      </w:r>
      <w:r w:rsidRPr="00760A3E">
        <w:rPr>
          <w:rFonts w:ascii="Times New Roman" w:hAnsi="Times New Roman" w:cs="Times New Roman"/>
          <w:sz w:val="24"/>
          <w:szCs w:val="24"/>
        </w:rPr>
        <w:t>, suddiviso annualmente com</w:t>
      </w:r>
      <w:r>
        <w:rPr>
          <w:rFonts w:ascii="Times New Roman" w:hAnsi="Times New Roman" w:cs="Times New Roman"/>
          <w:sz w:val="24"/>
          <w:szCs w:val="24"/>
        </w:rPr>
        <w:t>e di seguito specificato: € 41.0</w:t>
      </w:r>
      <w:r w:rsidRPr="00760A3E">
        <w:rPr>
          <w:rFonts w:ascii="Times New Roman" w:hAnsi="Times New Roman" w:cs="Times New Roman"/>
          <w:sz w:val="24"/>
          <w:szCs w:val="24"/>
        </w:rPr>
        <w:t>00,00 per 2023, € 41.</w:t>
      </w:r>
      <w:r>
        <w:rPr>
          <w:rFonts w:ascii="Times New Roman" w:hAnsi="Times New Roman" w:cs="Times New Roman"/>
          <w:sz w:val="24"/>
          <w:szCs w:val="24"/>
        </w:rPr>
        <w:t>000,00 per 2024.</w:t>
      </w:r>
    </w:p>
    <w:p w:rsidR="003536B8"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rimborso sarà erogato a cadenza semestrale e seguito di specifica relazione dell’ETS redatta e sottoscritta ai sensi dell’art. 46 del DPR n. 445 del 28/12/2000 a cui dovranno essere allegati i documenti probatori delle spese sostenute (fatture, scontrini, ricevute o documenti equivalenti) ai sensi di quanto stabilito dal D.Lgs 117/2017 “Codice del Terzo Settore”.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Art. 7 – RISORSE MESSE A DISPOSIZIONE DALLE PARTI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piano finanziario per la realizzazione delle azioni e delle attività di progetto e perseguire le finalità e gli obiettivi dello stesso è quello contenuto nella proposta progettuale presentata dall’ETS nell’ambito del procedimento e vede la co-partecipazione del Comune di Campogalliano e dell’ETS, secondo le seguenti modalità:</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56"/>
        <w:gridCol w:w="3056"/>
        <w:gridCol w:w="3057"/>
      </w:tblGrid>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p>
        </w:tc>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Risorse messe a</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disposizione da Comune di Campogalliano</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Valore in euro</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RIMBORSO SPESE</w:t>
            </w:r>
          </w:p>
        </w:tc>
        <w:tc>
          <w:tcPr>
            <w:tcW w:w="3057"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Risorse aggiuntive</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proprie ETS</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Valore in euro</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CO-PARTECIPAZIONE</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ETS, non oggetto di</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rimborso</w:t>
            </w: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Attrezzature e beni</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strumentali</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Personale</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Rimborsi spese per il</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personale e i volontari</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Gestione (affitti,</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utenze...)</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Materiali di consumo</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Formazione del personale</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e volontari</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Coordinamento e</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gestione complessiva del</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progetto</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Promozione e</w:t>
            </w:r>
          </w:p>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comunicazione</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Assicurazione</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r w:rsidRPr="00760A3E">
              <w:rPr>
                <w:rFonts w:ascii="Times New Roman" w:hAnsi="Times New Roman" w:cs="Times New Roman"/>
                <w:sz w:val="24"/>
                <w:szCs w:val="24"/>
              </w:rPr>
              <w:t>Altro (specificare)</w:t>
            </w: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r w:rsidR="003536B8" w:rsidRPr="00760A3E" w:rsidTr="00366B09">
        <w:tc>
          <w:tcPr>
            <w:tcW w:w="3056" w:type="dxa"/>
          </w:tcPr>
          <w:p w:rsidR="003536B8" w:rsidRPr="00760A3E" w:rsidRDefault="003536B8" w:rsidP="00366B09">
            <w:pPr>
              <w:jc w:val="both"/>
              <w:rPr>
                <w:rFonts w:ascii="Times New Roman" w:hAnsi="Times New Roman" w:cs="Times New Roman"/>
                <w:sz w:val="24"/>
                <w:szCs w:val="24"/>
              </w:rPr>
            </w:pPr>
          </w:p>
        </w:tc>
        <w:tc>
          <w:tcPr>
            <w:tcW w:w="3056" w:type="dxa"/>
          </w:tcPr>
          <w:p w:rsidR="003536B8" w:rsidRPr="00760A3E" w:rsidRDefault="003536B8" w:rsidP="00366B09">
            <w:pPr>
              <w:jc w:val="both"/>
              <w:rPr>
                <w:rFonts w:ascii="Times New Roman" w:hAnsi="Times New Roman" w:cs="Times New Roman"/>
                <w:sz w:val="24"/>
                <w:szCs w:val="24"/>
              </w:rPr>
            </w:pPr>
          </w:p>
        </w:tc>
        <w:tc>
          <w:tcPr>
            <w:tcW w:w="3057" w:type="dxa"/>
          </w:tcPr>
          <w:p w:rsidR="003536B8" w:rsidRPr="00760A3E" w:rsidRDefault="003536B8" w:rsidP="00366B09">
            <w:pPr>
              <w:jc w:val="both"/>
              <w:rPr>
                <w:rFonts w:ascii="Times New Roman" w:hAnsi="Times New Roman" w:cs="Times New Roman"/>
                <w:sz w:val="24"/>
                <w:szCs w:val="24"/>
              </w:rPr>
            </w:pPr>
          </w:p>
        </w:tc>
      </w:tr>
    </w:tbl>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Comune di Campogalliano erogherà le somme previste, con trasferimenti, fino a concorrenza dell’importo massimo di euro 16</w:t>
      </w:r>
      <w:r>
        <w:rPr>
          <w:rFonts w:ascii="Times New Roman" w:hAnsi="Times New Roman" w:cs="Times New Roman"/>
          <w:sz w:val="24"/>
          <w:szCs w:val="24"/>
        </w:rPr>
        <w:t>4</w:t>
      </w:r>
      <w:r w:rsidRPr="00760A3E">
        <w:rPr>
          <w:rFonts w:ascii="Times New Roman" w:hAnsi="Times New Roman" w:cs="Times New Roman"/>
          <w:sz w:val="24"/>
          <w:szCs w:val="24"/>
        </w:rPr>
        <w:t>.000,00, secondo le tempistiche previste all’art.6 esclusivamente nella forma del rimborso delle spese sostenute e documentate per la realizzazione del progetto, comprensive dell’IVA eventualmente sostenuta dall’ETS.</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8 -  SPESE AMMESSE A RIMBORSO DA RENDICONTARE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Entro l’importo massimo di 16</w:t>
      </w:r>
      <w:r>
        <w:rPr>
          <w:rFonts w:ascii="Times New Roman" w:hAnsi="Times New Roman" w:cs="Times New Roman"/>
          <w:sz w:val="24"/>
          <w:szCs w:val="24"/>
        </w:rPr>
        <w:t>4</w:t>
      </w:r>
      <w:r w:rsidRPr="00760A3E">
        <w:rPr>
          <w:rFonts w:ascii="Times New Roman" w:hAnsi="Times New Roman" w:cs="Times New Roman"/>
          <w:sz w:val="24"/>
          <w:szCs w:val="24"/>
        </w:rPr>
        <w:t>.000,00 potranno essere rimborsate tutte le spese effettivamente sostenute ed adeguatamente documentate (con esclusione di qualsiasi attribuzione a titolo di maggiorazione, accantonamento, ricarico o simili) relative alla realizzazione del progetto quali:</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attrezzature e beni strumentali</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personale;</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rimborsi spese per il personale e per i volontari;</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volontari;</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gestione (affitti, utenze...);</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materiali di consumo;</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formazione per il personale e volontari;</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coordinamento e gestione complessiva del progetto;</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promozione e comunicazione;</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assicurazione;</w:t>
      </w:r>
    </w:p>
    <w:p w:rsidR="003536B8" w:rsidRPr="00760A3E" w:rsidRDefault="003536B8">
      <w:pPr>
        <w:numPr>
          <w:ilvl w:val="0"/>
          <w:numId w:val="1"/>
        </w:numPr>
        <w:jc w:val="both"/>
        <w:rPr>
          <w:rFonts w:ascii="Times New Roman" w:hAnsi="Times New Roman" w:cs="Times New Roman"/>
          <w:sz w:val="24"/>
          <w:szCs w:val="24"/>
        </w:rPr>
      </w:pPr>
      <w:r w:rsidRPr="00760A3E">
        <w:rPr>
          <w:rFonts w:ascii="Times New Roman" w:hAnsi="Times New Roman" w:cs="Times New Roman"/>
          <w:sz w:val="24"/>
          <w:szCs w:val="24"/>
        </w:rPr>
        <w:t>- altri costi anche indiretti purchè riconducibili all’attività di progetto.</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Tutte le somme erogate dal Comune di Campogalliano in relazione alla presente convenzione costituiscono rimborsi spese, devono essere riferibili direttamente al progetto e saranno riconosciute esclusivamente previa presentazione di richiesta accompagnata da idonea documentazione probatoria. L’ETS dovrà trasmettere via pec al RUP richiesta di rimborso spese con allegata copia dei documenti giustificativi delle spese dirette sostenute in relazione alle attività oggetto della convenzione (fatture, ricevute fiscali, buste paga, altri documenti contabili, ecc..).</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In caso di spese indirette o che solo pro quota siano imputabili ad attività inerenti il presente progetto (es. spese generali, spese relative ad immobili, ecc... ) potranno essere richieste in rimborso pro quota mediante apposita dichiarazione del legale rappresentante che quantifichi, coerentemente ai valori risultanti dalla contabilità dell’Ente, la parte di cui si chiede il rimborso in quanto riconducibile alle attività di progetto.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Tutte le spese devono essere riferite al periodo compreso tra la data di avvio e quella di conclusione delle attività incluse nel progetto. Le spese dirette riferite al personale devono essere identificabili, riconducibili al progetto e attestate da documenti giustificativi (fatture, ricevute, buste paga, F24, ecc.). Devono, inoltre, essere esibiti i giustificativi che attestino l’effettivo pagamento delle spese rendicontate (bonifici bancari, mandati di pagamento quietanzati, ecc.).</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E’ fatto obbligo di conservare gli originali dei documenti presentati, presso la sede legale del soggetto attuatore, per un periodo non inferiore a cinque anni. Tutti i documenti contabili dovranno riportare il nome del progetto approvato per la riconducibilità delle spese allo stesso. Non sono riconosciuti pagamenti in contanti. Tutte le spese indicate nel piano finanziario di cui alla proposta progettuale definitiva devono intendersi al lordo.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Pertanto, l’importo riferito alle risorse umane deve comprendere tutti gli oneri fiscali e previdenziali a carico del lavoratore e del datore di lavoro. Sarà onere del beneficiario consegnare, unitamente ai documenti giustificativi della spesa, un prospetto riepilogativo del calcolo del costo lordo sostenuto per il personale. Per le retribuzioni calcolate su base oraria sarà fatto riferimento al CCNL del settore di riferimento. Il Comune di Campogalliano si riserva di non accettare richieste di rimborso incomplete o corredate da documentazione relativa a spese che non siano riconducibili alle attività del progetto.</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9 – MODALITA’ DI GESTIONE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 provvede alla gestione delle attività di cui alla presente convenzione con proprio personale e con proprie capacità organizzative, in stretta collaborazione con il Servizio Museo del Settore Servizi culturali, Ricreativi e Politiche Giovanili del Comune di Campogalliano.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 garantisce che i collaboratori e i volontari inseriti nelle attività siano in possesso delle necessarie cognizioni tecniche e pratiche necessarie allo svolgimento del servizio e che siano coperti da assicurazione contro infortuni, malattie connesse allo svolgimento dell’attività stessa e per la responsabilità civile contro terzi, secondo quanto stabilito dall’art. 18 del D.Lgs. 3 luglio 2017 n. 117: gli oneri per tali assicurazioni sono riconosciuti tra i costi a rimborso di cui all’art. 5 del presente atto.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 volontari rispondono del loro operato all’ETS la quale è ritenuta l’unica responsabile degli impegni e dei compiti assunti.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servizio andrà svolto con la massima cura, diligenza, educazione, disponibilità e gentilezza nei confronti dell’utenza.</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personale si deve presentare in servizio con tenuta dignitosa e consona al luogo e con tesserino di riconoscimento da presentare comunque ben visibile all’utenza.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Art. 10 – REVISIONE DELLA CONVENZIONE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Durante il periodo di attuazione del progetto, il Comune di Campogalliano si riserva di chiedere all’ETS partner la riattivazione del tavolo di co-progettazione per procedere alla revisione/modifica delle modalità attuative delle azioni progettuali, anche prevedendo la cessazione di specifici interventi, laddove ciò risulti utile o necessario in base alle evidenze legate al monitoraggio dell’attuazione del progetto nonché alla luce dell’emersione di nuove esigenze dettate anche da eventuale nuova normativa.</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 motivata richiesta di riattivare il tavolo della co-progettazione potrà pervenire anche dall’ETS partner del progetto e sarà valutata dall’Amministrazione.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In ogni caso alla riattivazione del tavolo di co-progettazione nei termini che precedono non potrà conseguire il riconoscimento in favore dell’ETS partner di nuovi contributi,</w:t>
      </w:r>
      <w:r w:rsidRPr="00760A3E">
        <w:t xml:space="preserve"> </w:t>
      </w:r>
      <w:r w:rsidRPr="00760A3E">
        <w:rPr>
          <w:rFonts w:ascii="Times New Roman" w:hAnsi="Times New Roman" w:cs="Times New Roman"/>
          <w:sz w:val="24"/>
          <w:szCs w:val="24"/>
        </w:rPr>
        <w:t>né alcuna somma a titolo di indennizzo o risarcimento, salvo il rimborso delle spese sostenute fino a quel momento debitamente documentate.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Nel caso in cui a seguito della riattivazione del tavolo, si pervenga alla condivisione di un nuovo progetto, si procederà alla conseguente modifica/revisione della presente Convenzione.</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11  - OBBLIGHI DI TRACCIABILITÀ DEI FLUSSI FINANZIARI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L’Ente del Terzo Settore firmatario della presente Convenzione si impegna a rispettare tutti gli obblighi in materia di tracciabilità dei flussi finanziari di cui alla L.136/2010.</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Nello specifico si impegna, per le movimentazioni finanziarie relative al presente progetto, ad utilizzare uno o più conti correnti bancari o postali dedicati, anche non in via esclusiva, accesi presso banche o presso la società Poste Italiane s.p.a..</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 tal fine dichiara che utilizzerà i seguenti C/C (per ogni Ente: intestato a ............................., avente le seguenti coordinate: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Tutte le transazioni relative all'oggetto della Convenzione dovranno essere effettuate esclusivamente tramite lo strumento del bonifico bancario o postale, ovvero altri strumenti di pagamento idonei a consentire la piena tracciabilità delle operazioni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Gli ETS si obbligano, altresì, a com</w:t>
      </w:r>
      <w:r>
        <w:rPr>
          <w:rFonts w:ascii="Times New Roman" w:hAnsi="Times New Roman" w:cs="Times New Roman"/>
          <w:sz w:val="24"/>
          <w:szCs w:val="24"/>
        </w:rPr>
        <w:t>unicare tempestivamente al Comune di Campogalliano</w:t>
      </w:r>
      <w:r w:rsidRPr="00760A3E">
        <w:rPr>
          <w:rFonts w:ascii="Times New Roman" w:hAnsi="Times New Roman" w:cs="Times New Roman"/>
          <w:sz w:val="24"/>
          <w:szCs w:val="24"/>
        </w:rPr>
        <w:t xml:space="preserve"> ogni modifica relativa ai dati in questa sede forniti.</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Art.12 – INADEMPIMENTI E RISOLUZIONE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Nel caso in cui il Comune rilevi inadempienze da parte dell’ETS, la contestazione deve essere effettuata per iscritto, con fissazione di un termine per il contraddittorio.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 seguito della contestazione di tre inadempienze il Comune può procedere alla risoluzione anticipata della presente convenzione mediante lettera raccomandata con avviso di ricevimento. La presente convenzione può altresì essere oggetto di risoluzione da parte del Comune qualora siano evidenziate gravi carenze gestionali, tecniche, amministrative, contabili e che riguardino le coperture assicurative previste dall’art 18 del Dlgs 117/2017.</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 risoluzione è senza oneri a carico del Comune, se non quelli derivati dall’erogazione del rimborso ridotto proporzionalmente alla minor durata del periodo di affidamento.</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13 – REVOCA E CLAUSOLE RESCISSORIE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Comune ha facoltà di revocare la presente convenzione in qualsiasi momento, con lettera raccomandata con avviso di ricevimento per sopravvenuti motivi di pubblico interesse ovvero per inadempienza grave da parte dell’ETS.</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 qualora venissero meno i requisiti necessari a svolgere le attività oggetto della presente convenzione, può chiederne la rescissione con comunicazione motivata ed anticipata di almeno 90 giorni rispetto alla data di fine rapporto.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In entrambi i casi, il Comune riconoscerà all’ETS le spese fino a quel momento sostenute al netto di eventuali danni arrecati al patrimonio mobile e immobile del Museo nonché agli eventuali danni materiali e di immagine legati alla anticipata rescissione del contratto stesso.</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14 – ASSICURAZIONE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 ha presentato polizze assicurative per:</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per responsabilità civile in data ....... n° ....... stipulata presso ............. con scadenza ............, con massimale di €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per infortuni in data ...... n° ............... stipulata presso ................ con scadenza ............., con massimale di € .............</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15 - CODICE DI COMPORTAMENTO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Ai sensi del combinato disposto dell’art. 2 co.3 del DPR n. 62/2003 “Regolamento recante codici di comportamento dei dipendenti pubblici, a norma dell’art. 54 del D.lgs. 30 Marzo 2001, n. 165” e del Codice di Comportamento del Comune di Campogalliano, adottato con deliberazione di Giunta n.</w:t>
      </w:r>
      <w:r>
        <w:rPr>
          <w:rFonts w:ascii="Times New Roman" w:hAnsi="Times New Roman" w:cs="Times New Roman"/>
          <w:sz w:val="24"/>
          <w:szCs w:val="24"/>
        </w:rPr>
        <w:t>1</w:t>
      </w:r>
      <w:r w:rsidRPr="00760A3E">
        <w:rPr>
          <w:rFonts w:ascii="Times New Roman" w:hAnsi="Times New Roman" w:cs="Times New Roman"/>
          <w:sz w:val="24"/>
          <w:szCs w:val="24"/>
        </w:rPr>
        <w:t xml:space="preserve"> del 22/01/2014, l’ ETS e</w:t>
      </w:r>
      <w:r>
        <w:rPr>
          <w:rFonts w:ascii="Times New Roman" w:hAnsi="Times New Roman" w:cs="Times New Roman"/>
          <w:sz w:val="24"/>
          <w:szCs w:val="24"/>
        </w:rPr>
        <w:t>,</w:t>
      </w:r>
      <w:r w:rsidRPr="00760A3E">
        <w:rPr>
          <w:rFonts w:ascii="Times New Roman" w:hAnsi="Times New Roman" w:cs="Times New Roman"/>
          <w:sz w:val="24"/>
          <w:szCs w:val="24"/>
        </w:rPr>
        <w:t xml:space="preserve"> per suo tramite, i suoi dipendenti e/o collaboratori a qualsiasi titolo, si impegnano, pena la risoluzione del rapporto con l’ente, al rispetto degli obblighi di condotta previsti dai sopracitati codici per quanto compatibili.</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16 - TRATTAMENTO DATI PERSONALI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 dati raccolti nell’ambito della presente procedura saranno trattati e conservati dal Comune di Campogalliano nel pieno rispetto del D.Lgs n.196/2003 e successive modifiche ed integrazioni (Regolamento Europeo 2016/679).</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17 - FORO COMPETENTE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Ogni e qualsivoglia controversia che dovesse sorgere in relazione all’attuazione del progetto assegnato e a quanto previsto nel presente accordo, che non fosse possibile definire in via amministrativa, sarà deferita alla competenza dell’Autorità Giudiziaria Ordinaria. Il Foro competente è quello di Modena.</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18 – REGISTRAZIONE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L'atto sarà registrato in caso d'uso a norma dell'art. 5 comma 2, DPR n. 22 131/86. La presente convenzione, redatta in duplice originale, è esente dall’imposta di bollo e di registro, ai sensi dell’art. 82 del D.lgs. n. 117/2017.</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Art. 19 - ALLEGATI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Sono parti integranti e sostanziali della presente convenzione i seguenti allegati:</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Progetto congiunto co-progettato;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Verbale incontro di co-progettazione FASE 2 – Definizione del progetto finale (prot.</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n. _______ del _______);</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 xml:space="preserve">LA RESPONSABILE Settore Servizi Culturali, Ricreativi e Politiche Giovanili </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COMUNE DI CAMPOGALLIANO</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________________________</w:t>
      </w:r>
    </w:p>
    <w:p w:rsidR="003536B8" w:rsidRPr="00760A3E" w:rsidRDefault="003536B8">
      <w:pPr>
        <w:jc w:val="both"/>
        <w:rPr>
          <w:rFonts w:ascii="Times New Roman" w:hAnsi="Times New Roman" w:cs="Times New Roman"/>
          <w:sz w:val="24"/>
          <w:szCs w:val="24"/>
        </w:rPr>
      </w:pP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L’ETS</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IL LEGALE RAPPRESENTANTE</w:t>
      </w:r>
    </w:p>
    <w:p w:rsidR="003536B8" w:rsidRPr="00760A3E" w:rsidRDefault="003536B8">
      <w:pPr>
        <w:jc w:val="both"/>
        <w:rPr>
          <w:rFonts w:ascii="Times New Roman" w:hAnsi="Times New Roman" w:cs="Times New Roman"/>
          <w:sz w:val="24"/>
          <w:szCs w:val="24"/>
        </w:rPr>
      </w:pPr>
      <w:r w:rsidRPr="00760A3E">
        <w:rPr>
          <w:rFonts w:ascii="Times New Roman" w:hAnsi="Times New Roman" w:cs="Times New Roman"/>
          <w:sz w:val="24"/>
          <w:szCs w:val="24"/>
        </w:rPr>
        <w:t>________________________</w:t>
      </w:r>
    </w:p>
    <w:p w:rsidR="003536B8" w:rsidRPr="00760A3E" w:rsidRDefault="003536B8">
      <w:pPr>
        <w:jc w:val="both"/>
        <w:rPr>
          <w:rFonts w:ascii="Times New Roman" w:hAnsi="Times New Roman" w:cs="Times New Roman"/>
          <w:sz w:val="24"/>
          <w:szCs w:val="24"/>
        </w:rPr>
      </w:pPr>
    </w:p>
    <w:sectPr w:rsidR="003536B8" w:rsidRPr="00760A3E" w:rsidSect="009B0E7F">
      <w:pgSz w:w="11909" w:h="16834"/>
      <w:pgMar w:top="1440" w:right="1440" w:bottom="1440" w:left="1440"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B615B"/>
    <w:multiLevelType w:val="multilevel"/>
    <w:tmpl w:val="FFFFFFFF"/>
    <w:lvl w:ilvl="0">
      <w:start w:val="14"/>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E7F"/>
    <w:rsid w:val="0001555E"/>
    <w:rsid w:val="001A11FE"/>
    <w:rsid w:val="001D6395"/>
    <w:rsid w:val="002E3102"/>
    <w:rsid w:val="00305FAD"/>
    <w:rsid w:val="00340190"/>
    <w:rsid w:val="003536B8"/>
    <w:rsid w:val="00366B09"/>
    <w:rsid w:val="00367E5A"/>
    <w:rsid w:val="006327EB"/>
    <w:rsid w:val="00685E84"/>
    <w:rsid w:val="00760A3E"/>
    <w:rsid w:val="0088198A"/>
    <w:rsid w:val="00897DC5"/>
    <w:rsid w:val="0094135C"/>
    <w:rsid w:val="00952F95"/>
    <w:rsid w:val="009B0E7F"/>
    <w:rsid w:val="009E1403"/>
    <w:rsid w:val="00A45F23"/>
    <w:rsid w:val="00B22FB8"/>
    <w:rsid w:val="00BD4605"/>
    <w:rsid w:val="00E01905"/>
    <w:rsid w:val="00E25C5B"/>
    <w:rsid w:val="00E71AC5"/>
    <w:rsid w:val="00FF72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E"/>
    <w:pPr>
      <w:spacing w:line="276" w:lineRule="auto"/>
    </w:pPr>
  </w:style>
  <w:style w:type="paragraph" w:styleId="Heading1">
    <w:name w:val="heading 1"/>
    <w:basedOn w:val="normal1"/>
    <w:next w:val="normal1"/>
    <w:link w:val="Heading1Char"/>
    <w:uiPriority w:val="99"/>
    <w:qFormat/>
    <w:rsid w:val="0001555E"/>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01555E"/>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01555E"/>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01555E"/>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01555E"/>
    <w:pPr>
      <w:keepNext/>
      <w:keepLines/>
      <w:spacing w:before="240" w:after="80"/>
      <w:outlineLvl w:val="4"/>
    </w:pPr>
    <w:rPr>
      <w:color w:val="666666"/>
    </w:rPr>
  </w:style>
  <w:style w:type="paragraph" w:styleId="Heading6">
    <w:name w:val="heading 6"/>
    <w:basedOn w:val="normal1"/>
    <w:next w:val="normal1"/>
    <w:link w:val="Heading6Char"/>
    <w:uiPriority w:val="99"/>
    <w:qFormat/>
    <w:rsid w:val="0001555E"/>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5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55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1555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155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1555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1555E"/>
    <w:rPr>
      <w:rFonts w:ascii="Calibri" w:hAnsi="Calibri" w:cs="Times New Roman"/>
      <w:b/>
      <w:bCs/>
    </w:rPr>
  </w:style>
  <w:style w:type="paragraph" w:customStyle="1" w:styleId="normal0">
    <w:name w:val="normal"/>
    <w:uiPriority w:val="99"/>
    <w:rsid w:val="009B0E7F"/>
    <w:pPr>
      <w:spacing w:line="276" w:lineRule="auto"/>
    </w:pPr>
  </w:style>
  <w:style w:type="paragraph" w:styleId="Title">
    <w:name w:val="Title"/>
    <w:basedOn w:val="normal1"/>
    <w:next w:val="normal1"/>
    <w:link w:val="TitleChar"/>
    <w:uiPriority w:val="99"/>
    <w:qFormat/>
    <w:rsid w:val="0001555E"/>
    <w:pPr>
      <w:keepNext/>
      <w:keepLines/>
      <w:spacing w:after="60"/>
    </w:pPr>
    <w:rPr>
      <w:sz w:val="52"/>
      <w:szCs w:val="52"/>
    </w:rPr>
  </w:style>
  <w:style w:type="character" w:customStyle="1" w:styleId="TitleChar">
    <w:name w:val="Title Char"/>
    <w:basedOn w:val="DefaultParagraphFont"/>
    <w:link w:val="Title"/>
    <w:uiPriority w:val="99"/>
    <w:locked/>
    <w:rsid w:val="0001555E"/>
    <w:rPr>
      <w:rFonts w:ascii="Cambria" w:hAnsi="Cambria" w:cs="Times New Roman"/>
      <w:b/>
      <w:bCs/>
      <w:kern w:val="28"/>
      <w:sz w:val="32"/>
      <w:szCs w:val="32"/>
    </w:rPr>
  </w:style>
  <w:style w:type="paragraph" w:customStyle="1" w:styleId="normal1">
    <w:name w:val="normal1"/>
    <w:uiPriority w:val="99"/>
    <w:rsid w:val="0001555E"/>
    <w:pPr>
      <w:spacing w:line="276" w:lineRule="auto"/>
    </w:pPr>
  </w:style>
  <w:style w:type="paragraph" w:styleId="Subtitle">
    <w:name w:val="Subtitle"/>
    <w:basedOn w:val="Normal"/>
    <w:next w:val="Normal"/>
    <w:link w:val="SubtitleChar"/>
    <w:uiPriority w:val="99"/>
    <w:qFormat/>
    <w:rsid w:val="009B0E7F"/>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01555E"/>
    <w:rPr>
      <w:rFonts w:ascii="Cambria" w:hAnsi="Cambria" w:cs="Times New Roman"/>
      <w:sz w:val="24"/>
      <w:szCs w:val="24"/>
    </w:rPr>
  </w:style>
  <w:style w:type="table" w:styleId="TableGrid">
    <w:name w:val="Table Grid"/>
    <w:basedOn w:val="TableNormal"/>
    <w:uiPriority w:val="99"/>
    <w:locked/>
    <w:rsid w:val="0001555E"/>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
    <w:name w:val="Stile"/>
    <w:uiPriority w:val="99"/>
    <w:rsid w:val="009B0E7F"/>
    <w:pPr>
      <w:spacing w:line="276" w:lineRule="auto"/>
    </w:pPr>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3506</Words>
  <Characters>19985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
  <cp:keywords/>
  <dc:description/>
  <cp:lastModifiedBy>domagiul</cp:lastModifiedBy>
  <cp:revision>5</cp:revision>
  <dcterms:created xsi:type="dcterms:W3CDTF">2022-09-23T09:04:00Z</dcterms:created>
  <dcterms:modified xsi:type="dcterms:W3CDTF">2022-10-05T09:39:00Z</dcterms:modified>
</cp:coreProperties>
</file>